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11111"/>
          <w:sz w:val="30"/>
          <w:szCs w:val="30"/>
        </w:rPr>
        <w:t xml:space="preserve">TÉRMINOS Y CONDICIONES</w:t>
      </w:r>
    </w:p>
    <w:p>
      <w:pPr>
        <w:spacing w:after="40"/>
        <w:jc w:val="center"/>
      </w:pPr>
      <w:r>
        <w:rPr>
          <w:rFonts w:ascii="Calibri" w:cs="Calibri" w:eastAsia="Calibri" w:hAnsi="Calibri"/>
          <w:b/>
          <w:bCs/>
          <w:color w:val="333333"/>
          <w:sz w:val="24"/>
          <w:szCs w:val="24"/>
        </w:rPr>
        <w:t xml:space="preserve">Partido de Fútbol Femenino</w:t>
      </w:r>
    </w:p>
    <w:p>
      <w:pPr>
        <w:spacing w:after="260"/>
        <w:jc w:val="center"/>
      </w:pPr>
      <w:r>
        <w:rPr>
          <w:rFonts w:ascii="Calibri" w:cs="Calibri" w:eastAsia="Calibri" w:hAnsi="Calibri"/>
          <w:b/>
          <w:bCs/>
          <w:color w:val="333333"/>
          <w:sz w:val="24"/>
          <w:szCs w:val="24"/>
        </w:rPr>
        <w:t xml:space="preserve">Millonarios F.C. vs. Atlético Nacional</w:t>
      </w:r>
    </w:p>
    <w:p>
      <w:pPr>
        <w:pBdr>
          <w:bottom w:val="single" w:color="111111" w:sz="8" w:space="1"/>
        </w:pBdr>
        <w:spacing w:after="240"/>
      </w:pPr>
    </w:p>
    <w:p>
      <w:pPr>
        <w:spacing w:after="140" w:before="280"/>
      </w:pPr>
      <w:r>
        <w:rPr>
          <w:rFonts w:ascii="Calibri" w:cs="Calibri" w:eastAsia="Calibri" w:hAnsi="Calibri"/>
          <w:b/>
          <w:bCs/>
          <w:color w:val="111111"/>
          <w:sz w:val="24"/>
          <w:szCs w:val="24"/>
        </w:rPr>
        <w:t xml:space="preserve">1. Información general del partido</w:t>
      </w:r>
    </w:p>
    <w:p>
      <w:pPr>
        <w:pStyle w:val="ListParagraph"/>
        <w:numPr>
          <w:ilvl w:val="0"/>
          <w:numId w:val="2"/>
        </w:numPr>
        <w:spacing w:after="90" w:line="280"/>
      </w:pPr>
      <w:r>
        <w:rPr>
          <w:rFonts w:ascii="Calibri" w:cs="Calibri" w:eastAsia="Calibri" w:hAnsi="Calibri"/>
          <w:color w:val="1A1A1A"/>
          <w:sz w:val="21"/>
          <w:szCs w:val="21"/>
        </w:rPr>
        <w:t xml:space="preserve">Fecha: miércoles 9 de septiembre de 2026.</w:t>
      </w:r>
    </w:p>
    <w:p>
      <w:pPr>
        <w:pStyle w:val="ListParagraph"/>
        <w:numPr>
          <w:ilvl w:val="0"/>
          <w:numId w:val="2"/>
        </w:numPr>
        <w:spacing w:after="90" w:line="280"/>
      </w:pPr>
      <w:r>
        <w:rPr>
          <w:rFonts w:ascii="Calibri" w:cs="Calibri" w:eastAsia="Calibri" w:hAnsi="Calibri"/>
          <w:color w:val="1A1A1A"/>
          <w:sz w:val="21"/>
          <w:szCs w:val="21"/>
        </w:rPr>
        <w:t xml:space="preserve">Hora: 6:00 p.m.</w:t>
      </w:r>
    </w:p>
    <w:p>
      <w:pPr>
        <w:pStyle w:val="ListParagraph"/>
        <w:numPr>
          <w:ilvl w:val="0"/>
          <w:numId w:val="2"/>
        </w:numPr>
        <w:spacing w:after="90" w:line="280"/>
      </w:pPr>
      <w:r>
        <w:rPr>
          <w:rFonts w:ascii="Calibri" w:cs="Calibri" w:eastAsia="Calibri" w:hAnsi="Calibri"/>
          <w:color w:val="1A1A1A"/>
          <w:sz w:val="21"/>
          <w:szCs w:val="21"/>
        </w:rPr>
        <w:t xml:space="preserve">Estadio: Nemesio Camacho El Campín, Bogotá.</w:t>
      </w:r>
    </w:p>
    <w:p>
      <w:pPr>
        <w:pStyle w:val="ListParagraph"/>
        <w:numPr>
          <w:ilvl w:val="0"/>
          <w:numId w:val="2"/>
        </w:numPr>
        <w:spacing w:after="90" w:line="280"/>
      </w:pPr>
      <w:r>
        <w:rPr>
          <w:rFonts w:ascii="Calibri" w:cs="Calibri" w:eastAsia="Calibri" w:hAnsi="Calibri"/>
          <w:color w:val="1A1A1A"/>
          <w:sz w:val="21"/>
          <w:szCs w:val="21"/>
        </w:rPr>
        <w:t xml:space="preserve">Tribuna habilitada: únicamente Tribuna Occidental. No habrá ingreso ni venta de boletería para las demás tribunas del estadio.</w:t>
      </w:r>
    </w:p>
    <w:p>
      <w:pPr>
        <w:spacing w:after="140" w:before="280"/>
      </w:pPr>
      <w:r>
        <w:rPr>
          <w:rFonts w:ascii="Calibri" w:cs="Calibri" w:eastAsia="Calibri" w:hAnsi="Calibri"/>
          <w:b/>
          <w:bCs/>
          <w:color w:val="111111"/>
          <w:sz w:val="24"/>
          <w:szCs w:val="24"/>
        </w:rPr>
        <w:t xml:space="preserve">2. Venta individual de boletería</w:t>
      </w:r>
    </w:p>
    <w:p>
      <w:pPr>
        <w:spacing w:after="160" w:line="300"/>
        <w:jc w:val="both"/>
      </w:pPr>
      <w:r>
        <w:rPr>
          <w:rFonts w:ascii="Calibri" w:cs="Calibri" w:eastAsia="Calibri" w:hAnsi="Calibri"/>
          <w:b w:val="false"/>
          <w:bCs w:val="false"/>
          <w:color w:val="1A1A1A"/>
          <w:sz w:val="21"/>
          <w:szCs w:val="21"/>
        </w:rPr>
        <w:t xml:space="preserve">Para este partido se dispondrá de un aforo limitado destinado a la venta individual de boletería. La venta estará sujeta a la disponibilidad de cupos y se cerrará una vez se agote el aforo asignado para esta modalidad, sin perjuicio de la fecha límite que se informe oportunamente.</w:t>
      </w:r>
    </w:p>
    <w:p>
      <w:pPr>
        <w:spacing w:after="140" w:before="280"/>
      </w:pPr>
      <w:r>
        <w:rPr>
          <w:rFonts w:ascii="Calibri" w:cs="Calibri" w:eastAsia="Calibri" w:hAnsi="Calibri"/>
          <w:b/>
          <w:bCs/>
          <w:color w:val="111111"/>
          <w:sz w:val="24"/>
          <w:szCs w:val="24"/>
        </w:rPr>
        <w:t xml:space="preserve">3. Beneficio para abonados de la Liga BetPlay 2026-II</w:t>
      </w:r>
    </w:p>
    <w:p>
      <w:pPr>
        <w:spacing w:after="160" w:line="300"/>
        <w:jc w:val="both"/>
      </w:pPr>
      <w:r>
        <w:rPr>
          <w:rFonts w:ascii="Calibri" w:cs="Calibri" w:eastAsia="Calibri" w:hAnsi="Calibri"/>
          <w:b w:val="false"/>
          <w:bCs w:val="false"/>
          <w:color w:val="1A1A1A"/>
          <w:sz w:val="21"/>
          <w:szCs w:val="21"/>
        </w:rPr>
        <w:t xml:space="preserve">Los abonados de la Liga BetPlay 2026-II tendrán como beneficio el ingreso gratuito a este partido. Para hacer efectivo este beneficio, el abonado deberá canjear su entrada exclusivamente a través del sitio web www.entradasmillonarios.com, siguiendo el procedimiento descrito en el numeral 4 de este documento.</w:t>
      </w:r>
    </w:p>
    <w:p>
      <w:pPr>
        <w:spacing w:after="140" w:before="280"/>
      </w:pPr>
      <w:r>
        <w:rPr>
          <w:rFonts w:ascii="Calibri" w:cs="Calibri" w:eastAsia="Calibri" w:hAnsi="Calibri"/>
          <w:b/>
          <w:bCs/>
          <w:color w:val="111111"/>
          <w:sz w:val="24"/>
          <w:szCs w:val="24"/>
        </w:rPr>
        <w:t xml:space="preserve">4. Procedimiento de redención</w:t>
      </w:r>
    </w:p>
    <w:p>
      <w:pPr>
        <w:spacing w:after="160" w:line="300"/>
        <w:jc w:val="both"/>
      </w:pPr>
      <w:r>
        <w:rPr>
          <w:rFonts w:ascii="Calibri" w:cs="Calibri" w:eastAsia="Calibri" w:hAnsi="Calibri"/>
          <w:b w:val="false"/>
          <w:bCs w:val="false"/>
          <w:color w:val="1A1A1A"/>
          <w:sz w:val="21"/>
          <w:szCs w:val="21"/>
        </w:rPr>
        <w:t xml:space="preserve">Para canjear la entrada gratuita, el abonado deberá seguir los siguientes pasos:</w:t>
      </w:r>
    </w:p>
    <w:p>
      <w:pPr>
        <w:pStyle w:val="ListParagraph"/>
        <w:numPr>
          <w:ilvl w:val="0"/>
          <w:numId w:val="3"/>
        </w:numPr>
        <w:spacing w:after="90" w:line="280"/>
      </w:pPr>
      <w:r>
        <w:rPr>
          <w:rFonts w:ascii="Calibri" w:cs="Calibri" w:eastAsia="Calibri" w:hAnsi="Calibri"/>
          <w:color w:val="1A1A1A"/>
          <w:sz w:val="21"/>
          <w:szCs w:val="21"/>
        </w:rPr>
        <w:t xml:space="preserve">Ingresar al sitio web www.entradasmillonarios.com.</w:t>
      </w:r>
    </w:p>
    <w:p>
      <w:pPr>
        <w:pStyle w:val="ListParagraph"/>
        <w:numPr>
          <w:ilvl w:val="0"/>
          <w:numId w:val="3"/>
        </w:numPr>
        <w:spacing w:after="90" w:line="280"/>
      </w:pPr>
      <w:r>
        <w:rPr>
          <w:rFonts w:ascii="Calibri" w:cs="Calibri" w:eastAsia="Calibri" w:hAnsi="Calibri"/>
          <w:color w:val="1A1A1A"/>
          <w:sz w:val="21"/>
          <w:szCs w:val="21"/>
        </w:rPr>
        <w:t xml:space="preserve">Seleccionar el canal de "REDENCIÓN ABONADO".</w:t>
      </w:r>
    </w:p>
    <w:p>
      <w:pPr>
        <w:pStyle w:val="ListParagraph"/>
        <w:numPr>
          <w:ilvl w:val="0"/>
          <w:numId w:val="3"/>
        </w:numPr>
        <w:spacing w:after="90" w:line="280"/>
      </w:pPr>
      <w:r>
        <w:rPr>
          <w:rFonts w:ascii="Calibri" w:cs="Calibri" w:eastAsia="Calibri" w:hAnsi="Calibri"/>
          <w:color w:val="1A1A1A"/>
          <w:sz w:val="21"/>
          <w:szCs w:val="21"/>
        </w:rPr>
        <w:t xml:space="preserve">Seleccionar la entrada correspondiente a este partido.</w:t>
      </w:r>
    </w:p>
    <w:p>
      <w:pPr>
        <w:pStyle w:val="ListParagraph"/>
        <w:numPr>
          <w:ilvl w:val="0"/>
          <w:numId w:val="3"/>
        </w:numPr>
        <w:spacing w:after="90" w:line="280"/>
      </w:pPr>
      <w:r>
        <w:rPr>
          <w:rFonts w:ascii="Calibri" w:cs="Calibri" w:eastAsia="Calibri" w:hAnsi="Calibri"/>
          <w:color w:val="1A1A1A"/>
          <w:sz w:val="21"/>
          <w:szCs w:val="21"/>
        </w:rPr>
        <w:t xml:space="preserve">Ingresar el número de cédula del titular del abono para completar el canje.</w:t>
      </w:r>
    </w:p>
    <w:p>
      <w:pPr>
        <w:spacing w:after="140" w:before="280"/>
      </w:pPr>
      <w:r>
        <w:rPr>
          <w:rFonts w:ascii="Calibri" w:cs="Calibri" w:eastAsia="Calibri" w:hAnsi="Calibri"/>
          <w:b/>
          <w:bCs/>
          <w:color w:val="111111"/>
          <w:sz w:val="24"/>
          <w:szCs w:val="24"/>
        </w:rPr>
        <w:t xml:space="preserve">5. Límite de canje por abonado</w:t>
      </w:r>
    </w:p>
    <w:p>
      <w:pPr>
        <w:spacing w:after="160" w:line="300"/>
        <w:jc w:val="both"/>
      </w:pPr>
      <w:r>
        <w:rPr>
          <w:rFonts w:ascii="Calibri" w:cs="Calibri" w:eastAsia="Calibri" w:hAnsi="Calibri"/>
          <w:b w:val="false"/>
          <w:bCs w:val="false"/>
          <w:color w:val="1A1A1A"/>
          <w:sz w:val="21"/>
          <w:szCs w:val="21"/>
        </w:rPr>
        <w:t xml:space="preserve">Cada abonado podrá canjear, como máximo, el mismo número de entradas que corresponda a la cantidad de abonos que tiene a su nombre. No se permitirá el canje de un número de entradas superior al número de abonos registrados a nombre del titular.</w:t>
      </w:r>
    </w:p>
    <w:p>
      <w:pPr>
        <w:spacing w:after="140" w:before="280"/>
      </w:pPr>
      <w:r>
        <w:rPr>
          <w:rFonts w:ascii="Calibri" w:cs="Calibri" w:eastAsia="Calibri" w:hAnsi="Calibri"/>
          <w:b/>
          <w:bCs/>
          <w:color w:val="111111"/>
          <w:sz w:val="24"/>
          <w:szCs w:val="24"/>
        </w:rPr>
        <w:t xml:space="preserve">6. Ubicación dentro del estadio</w:t>
      </w:r>
    </w:p>
    <w:p>
      <w:pPr>
        <w:spacing w:after="160" w:line="300"/>
        <w:jc w:val="both"/>
      </w:pPr>
      <w:r>
        <w:rPr>
          <w:rFonts w:ascii="Calibri" w:cs="Calibri" w:eastAsia="Calibri" w:hAnsi="Calibri"/>
          <w:b w:val="false"/>
          <w:bCs w:val="false"/>
          <w:color w:val="1A1A1A"/>
          <w:sz w:val="21"/>
          <w:szCs w:val="21"/>
        </w:rPr>
        <w:t xml:space="preserve">El ingreso a la Tribuna Occidental será de aforo general, es decir, las entradas no cuentan con silla ni ubicación específica asignada.</w:t>
      </w:r>
    </w:p>
    <w:p>
      <w:pPr>
        <w:spacing w:after="140" w:before="280"/>
      </w:pPr>
      <w:r>
        <w:rPr>
          <w:rFonts w:ascii="Calibri" w:cs="Calibri" w:eastAsia="Calibri" w:hAnsi="Calibri"/>
          <w:b/>
          <w:bCs/>
          <w:color w:val="111111"/>
          <w:sz w:val="24"/>
          <w:szCs w:val="24"/>
        </w:rPr>
        <w:t xml:space="preserve">7. Disponibilidad y agotamiento de aforo</w:t>
      </w:r>
    </w:p>
    <w:p>
      <w:pPr>
        <w:spacing w:after="160" w:line="300"/>
        <w:jc w:val="both"/>
      </w:pPr>
      <w:r>
        <w:rPr>
          <w:rFonts w:ascii="Calibri" w:cs="Calibri" w:eastAsia="Calibri" w:hAnsi="Calibri"/>
          <w:b w:val="false"/>
          <w:bCs w:val="false"/>
          <w:color w:val="1A1A1A"/>
          <w:sz w:val="21"/>
          <w:szCs w:val="21"/>
        </w:rPr>
        <w:t xml:space="preserve">El aforo destinado a este partido, tanto para venta individual como para la redención de abonados, es limitado. En consecuencia, la entrega de entradas gratuitas a los abonados no está garantizada para la totalidad de los mismos, y el canje o la compra estarán disponibles únicamente hasta agotar existencias.</w:t>
      </w:r>
    </w:p>
    <w:p>
      <w:pPr>
        <w:spacing w:after="140" w:before="280"/>
      </w:pPr>
      <w:r>
        <w:rPr>
          <w:rFonts w:ascii="Calibri" w:cs="Calibri" w:eastAsia="Calibri" w:hAnsi="Calibri"/>
          <w:b/>
          <w:bCs/>
          <w:color w:val="111111"/>
          <w:sz w:val="24"/>
          <w:szCs w:val="24"/>
        </w:rPr>
        <w:t xml:space="preserve">8. Aplazamientos, cancelaciones y cierre de tribunas por sanciones</w:t>
      </w:r>
    </w:p>
    <w:p>
      <w:pPr>
        <w:spacing w:after="160" w:line="300"/>
        <w:jc w:val="both"/>
      </w:pPr>
      <w:r>
        <w:rPr>
          <w:rFonts w:ascii="Calibri" w:cs="Calibri" w:eastAsia="Calibri" w:hAnsi="Calibri"/>
          <w:b w:val="false"/>
          <w:bCs w:val="false"/>
          <w:color w:val="1A1A1A"/>
          <w:sz w:val="21"/>
          <w:szCs w:val="21"/>
        </w:rPr>
        <w:t xml:space="preserve">En caso de presentarse aplazamientos y/o cancelaciones de Eventos, por cualquier motivo, las condiciones de reagendamiento del Evento, devolución del dinero de las Boletas y/ Abonos y/o la opción de recambio de la Boleta y/o Abono para asistir a otro Evento serán determinadas por Millonarios FC e informadas al Operador.</w:t>
      </w:r>
    </w:p>
    <w:p>
      <w:pPr>
        <w:spacing w:after="160" w:line="300"/>
        <w:jc w:val="both"/>
      </w:pPr>
      <w:r>
        <w:rPr>
          <w:rFonts w:ascii="Calibri" w:cs="Calibri" w:eastAsia="Calibri" w:hAnsi="Calibri"/>
          <w:b w:val="false"/>
          <w:bCs w:val="false"/>
          <w:color w:val="1A1A1A"/>
          <w:sz w:val="21"/>
          <w:szCs w:val="21"/>
        </w:rPr>
        <w:t xml:space="preserve">En todo caso, en el evento en que las autoridades competentes impongan sanciones a Millonarios FC, derivados del mal comportamiento de los asistentes a una o varias tribunas del escenario deportivo donde Millonarios FC dispute partidos en condición de local, que conlleven el cierre temporal de dichas tribunas por un número determinado de fechas, Millonarios FC. no estará obligada a reubicar a los compradores de boletas o abonados de las localidades sancionadas en otras tribunas, ni reconocerá devolución, reembolso, saldo a favor, compensación o reposición alguna respecto de los partidos que se vean afectados por la medida.</w:t>
      </w:r>
    </w:p>
    <w:p>
      <w:pPr>
        <w:spacing w:after="140" w:before="280"/>
      </w:pPr>
      <w:r>
        <w:rPr>
          <w:rFonts w:ascii="Calibri" w:cs="Calibri" w:eastAsia="Calibri" w:hAnsi="Calibri"/>
          <w:b/>
          <w:bCs/>
          <w:color w:val="111111"/>
          <w:sz w:val="24"/>
          <w:szCs w:val="24"/>
        </w:rPr>
        <w:t xml:space="preserve">9. Ingreso de menores de edad</w:t>
      </w:r>
    </w:p>
    <w:p>
      <w:pPr>
        <w:spacing w:after="160" w:line="300"/>
        <w:jc w:val="both"/>
      </w:pPr>
      <w:r>
        <w:rPr>
          <w:rFonts w:ascii="Calibri" w:cs="Calibri" w:eastAsia="Calibri" w:hAnsi="Calibri"/>
          <w:b w:val="false"/>
          <w:bCs w:val="false"/>
          <w:color w:val="1A1A1A"/>
          <w:sz w:val="21"/>
          <w:szCs w:val="21"/>
        </w:rPr>
        <w:t xml:space="preserve">Todo menor de edad debe estar acompañado de un adulto responsable en todo momento; el ingreso de las dos personas debe hacerse al mismo tiempo. No se debe presentar el documento de identidad del niño o adulto para la compra o para el ingreso. No aplican descuentos para ninguna afiliación.</w:t>
      </w:r>
    </w:p>
    <w:p>
      <w:pPr>
        <w:spacing w:after="140" w:before="280"/>
      </w:pPr>
      <w:r>
        <w:rPr>
          <w:rFonts w:ascii="Calibri" w:cs="Calibri" w:eastAsia="Calibri" w:hAnsi="Calibri"/>
          <w:b/>
          <w:bCs/>
          <w:color w:val="111111"/>
          <w:sz w:val="24"/>
          <w:szCs w:val="24"/>
        </w:rPr>
        <w:t xml:space="preserve">10. Nominación y biometría de las entradas en QUENTRO</w:t>
      </w:r>
    </w:p>
    <w:p>
      <w:pPr>
        <w:spacing w:after="160" w:line="300"/>
        <w:jc w:val="both"/>
      </w:pPr>
      <w:r>
        <w:rPr>
          <w:rFonts w:ascii="Calibri" w:cs="Calibri" w:eastAsia="Calibri" w:hAnsi="Calibri"/>
          <w:b w:val="false"/>
          <w:bCs w:val="false"/>
          <w:color w:val="1A1A1A"/>
          <w:sz w:val="21"/>
          <w:szCs w:val="21"/>
        </w:rPr>
        <w:t xml:space="preserve">Para activar las entradas en QUENTRO, es obligatorio nominarlas para poder acceder al QR. En cada entrada, se debe dar clic en "NOMINAR TICKET", completar los campos de Nombre, Apellido, Cédula y, posteriormente, capturar la imagen del rostro para completar el proceso. Al momento de transferir una entrada que ya fue nominada, se podrán cambiar los datos del usuario que va a utilizar el ticket.</w:t>
      </w:r>
    </w:p>
    <w:p>
      <w:pPr>
        <w:spacing w:after="160" w:line="300"/>
        <w:jc w:val="both"/>
      </w:pPr>
      <w:r>
        <w:rPr>
          <w:rFonts w:ascii="Calibri" w:cs="Calibri" w:eastAsia="Calibri" w:hAnsi="Calibri"/>
          <w:b w:val="false"/>
          <w:bCs w:val="false"/>
          <w:color w:val="1A1A1A"/>
          <w:sz w:val="21"/>
          <w:szCs w:val="21"/>
        </w:rPr>
        <w:t xml:space="preserve">La biometría permite tener mayor seguridad para el control de acceso y buen comportamiento en el estadio; es una medida a la cual se acoge el club siguiendo los lineamientos de la Comisión Distrital para tener mejor control de los protocolos de seguridad.</w:t>
      </w:r>
    </w:p>
    <w:p>
      <w:pPr>
        <w:spacing w:after="260" w:before="100"/>
        <w:jc w:val="center"/>
      </w:pPr>
      <w:r>
        <w:rPr>
          <w:rFonts w:ascii="Calibri" w:cs="Calibri" w:eastAsia="Calibri" w:hAnsi="Calibri"/>
          <w:b/>
          <w:bCs/>
          <w:color w:val="111111"/>
          <w:sz w:val="21"/>
          <w:szCs w:val="21"/>
        </w:rPr>
        <w:t xml:space="preserve">INGRESO PERMITIDO ÚNICAMENTE A MAYORES DE 5 AÑOS Y PARA LATERALES 14 AÑOS.</w:t>
      </w:r>
    </w:p>
    <w:p>
      <w:pPr>
        <w:spacing w:after="20"/>
      </w:pPr>
      <w:r>
        <w:rPr>
          <w:rFonts w:ascii="Calibri" w:cs="Calibri" w:eastAsia="Calibri" w:hAnsi="Calibri"/>
          <w:b/>
          <w:bCs/>
          <w:color w:val="1A1A1A"/>
          <w:sz w:val="21"/>
          <w:szCs w:val="21"/>
        </w:rPr>
        <w:t xml:space="preserve">Responsable:</w:t>
      </w:r>
    </w:p>
    <w:p>
      <w:pPr>
        <w:spacing w:after="0"/>
      </w:pPr>
      <w:r>
        <w:rPr>
          <w:rFonts w:ascii="Calibri" w:cs="Calibri" w:eastAsia="Calibri" w:hAnsi="Calibri"/>
          <w:b/>
          <w:bCs/>
          <w:color w:val="1A1A1A"/>
          <w:sz w:val="21"/>
          <w:szCs w:val="21"/>
        </w:rPr>
        <w:t xml:space="preserve">AZUL &amp; BLANCO MILLONARIOS FC S.A</w:t>
      </w:r>
    </w:p>
    <w:p>
      <w:pPr>
        <w:spacing w:after="260"/>
      </w:pPr>
      <w:r>
        <w:rPr>
          <w:rFonts w:ascii="Calibri" w:cs="Calibri" w:eastAsia="Calibri" w:hAnsi="Calibri"/>
          <w:color w:val="1A1A1A"/>
          <w:sz w:val="21"/>
          <w:szCs w:val="21"/>
        </w:rPr>
        <w:t xml:space="preserve">NIT 900430878-9</w:t>
      </w:r>
    </w:p>
    <w:p>
      <w:pPr>
        <w:spacing w:after="160" w:line="300"/>
        <w:jc w:val="both"/>
      </w:pPr>
      <w:r>
        <w:rPr>
          <w:rFonts w:ascii="Calibri" w:cs="Calibri" w:eastAsia="Calibri" w:hAnsi="Calibri"/>
          <w:b w:val="false"/>
          <w:bCs w:val="false"/>
          <w:color w:val="1A1A1A"/>
          <w:sz w:val="21"/>
          <w:szCs w:val="21"/>
        </w:rPr>
        <w:t xml:space="preserve">Las fechas y horas eventualmente suministradas están sujetas a cambio por caso fortuito, fuerza mayor o disposición de DIMAYOR.</w:t>
      </w:r>
    </w:p>
    <w:p>
      <w:pPr>
        <w:spacing w:after="140" w:before="280"/>
      </w:pPr>
      <w:r>
        <w:rPr>
          <w:rFonts w:ascii="Calibri" w:cs="Calibri" w:eastAsia="Calibri" w:hAnsi="Calibri"/>
          <w:b/>
          <w:bCs/>
          <w:color w:val="111111"/>
          <w:sz w:val="24"/>
          <w:szCs w:val="24"/>
        </w:rPr>
        <w:t xml:space="preserve">Restricciones</w:t>
      </w:r>
    </w:p>
    <w:p>
      <w:pPr>
        <w:pStyle w:val="ListParagraph"/>
        <w:numPr>
          <w:ilvl w:val="0"/>
          <w:numId w:val="2"/>
        </w:numPr>
        <w:spacing w:after="90" w:line="280"/>
      </w:pPr>
      <w:r>
        <w:rPr>
          <w:rFonts w:ascii="Calibri" w:cs="Calibri" w:eastAsia="Calibri" w:hAnsi="Calibri"/>
          <w:color w:val="1A1A1A"/>
          <w:sz w:val="21"/>
          <w:szCs w:val="21"/>
        </w:rPr>
        <w:t xml:space="preserve">Prohibido el ingreso de mujeres en estado de embarazo por su seguridad.</w:t>
      </w:r>
    </w:p>
    <w:p>
      <w:pPr>
        <w:pStyle w:val="ListParagraph"/>
        <w:numPr>
          <w:ilvl w:val="0"/>
          <w:numId w:val="2"/>
        </w:numPr>
        <w:spacing w:after="90" w:line="280"/>
      </w:pPr>
      <w:r>
        <w:rPr>
          <w:rFonts w:ascii="Calibri" w:cs="Calibri" w:eastAsia="Calibri" w:hAnsi="Calibri"/>
          <w:color w:val="1A1A1A"/>
          <w:sz w:val="21"/>
          <w:szCs w:val="21"/>
        </w:rPr>
        <w:t xml:space="preserve">Prohibido el ingreso de armas u objetos peligrosos.</w:t>
      </w:r>
    </w:p>
    <w:p>
      <w:pPr>
        <w:pStyle w:val="ListParagraph"/>
        <w:numPr>
          <w:ilvl w:val="0"/>
          <w:numId w:val="2"/>
        </w:numPr>
        <w:spacing w:after="90" w:line="280"/>
      </w:pPr>
      <w:r>
        <w:rPr>
          <w:rFonts w:ascii="Calibri" w:cs="Calibri" w:eastAsia="Calibri" w:hAnsi="Calibri"/>
          <w:color w:val="1A1A1A"/>
          <w:sz w:val="21"/>
          <w:szCs w:val="21"/>
        </w:rPr>
        <w:t xml:space="preserve">Prohibido ingresar bajo el efecto de alcohol o de alucinógenos.</w:t>
      </w:r>
    </w:p>
    <w:p>
      <w:pPr>
        <w:pStyle w:val="ListParagraph"/>
        <w:numPr>
          <w:ilvl w:val="0"/>
          <w:numId w:val="2"/>
        </w:numPr>
        <w:spacing w:after="90" w:line="280"/>
      </w:pPr>
      <w:r>
        <w:rPr>
          <w:rFonts w:ascii="Calibri" w:cs="Calibri" w:eastAsia="Calibri" w:hAnsi="Calibri"/>
          <w:color w:val="1A1A1A"/>
          <w:sz w:val="21"/>
          <w:szCs w:val="21"/>
        </w:rPr>
        <w:t xml:space="preserve">No se permite fumar en el estadio.</w:t>
      </w:r>
    </w:p>
    <w:p>
      <w:pPr>
        <w:pStyle w:val="ListParagraph"/>
        <w:numPr>
          <w:ilvl w:val="0"/>
          <w:numId w:val="2"/>
        </w:numPr>
        <w:spacing w:after="90" w:line="280"/>
      </w:pPr>
      <w:r>
        <w:rPr>
          <w:rFonts w:ascii="Calibri" w:cs="Calibri" w:eastAsia="Calibri" w:hAnsi="Calibri"/>
          <w:color w:val="1A1A1A"/>
          <w:sz w:val="21"/>
          <w:szCs w:val="21"/>
        </w:rPr>
        <w:t xml:space="preserve">Prohibido el ingreso de maletas y morrales en todas las tribunas.</w:t>
      </w:r>
    </w:p>
    <w:p>
      <w:pPr>
        <w:pStyle w:val="ListParagraph"/>
        <w:numPr>
          <w:ilvl w:val="0"/>
          <w:numId w:val="2"/>
        </w:numPr>
        <w:spacing w:after="90" w:line="280"/>
      </w:pPr>
      <w:r>
        <w:rPr>
          <w:rFonts w:ascii="Calibri" w:cs="Calibri" w:eastAsia="Calibri" w:hAnsi="Calibri"/>
          <w:color w:val="1A1A1A"/>
          <w:sz w:val="21"/>
          <w:szCs w:val="21"/>
        </w:rPr>
        <w:t xml:space="preserve">Prohibido el ingreso de cinturones.</w:t>
      </w:r>
    </w:p>
    <w:p>
      <w:pPr>
        <w:pBdr>
          <w:top w:val="single" w:color="999999" w:sz="6" w:space="1"/>
        </w:pBdr>
        <w:spacing w:before="300"/>
      </w:pPr>
    </w:p>
    <w:p>
      <w:pPr>
        <w:spacing w:before="120"/>
      </w:pPr>
      <w:r>
        <w:rPr>
          <w:rFonts w:ascii="Calibri" w:cs="Calibri" w:eastAsia="Calibri" w:hAnsi="Calibri"/>
          <w:i/>
          <w:iCs/>
          <w:color w:val="555555"/>
          <w:sz w:val="18"/>
          <w:szCs w:val="18"/>
        </w:rPr>
        <w:t xml:space="preserve">Nota: los presentes términos y condiciones podrán ser ajustados o complementados por el organizador del evento antes de la fecha del partido.</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59"/>
      </w:pPr>
    </w:lvl>
  </w:abstractNum>
  <w:abstractNum w:abstractNumId="3" w15:restartNumberingAfterBreak="0">
    <w:multiLevelType w:val="hybridMultilevel"/>
    <w:lvl w:ilvl="0" w15:tentative="1">
      <w:start w:val="1"/>
      <w:numFmt w:val="decimal"/>
      <w:lvlText w:val="%1."/>
      <w:lvlJc w:val="left"/>
      <w:pPr>
        <w:ind w:left="504" w:hanging="504"/>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2026-09-04T18:03:50.461Z</dcterms:created>
  <dcterms:modified xsi:type="dcterms:W3CDTF">2026-09-04T18:03:50.461Z</dcterms:modified>
</cp:coreProperties>
</file>

<file path=docProps/custom.xml><?xml version="1.0" encoding="utf-8"?>
<Properties xmlns="http://schemas.openxmlformats.org/officeDocument/2006/custom-properties" xmlns:vt="http://schemas.openxmlformats.org/officeDocument/2006/docPropsVTypes"/>
</file>